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4" w:rsidRDefault="002302A4" w:rsidP="002302A4">
      <w:pPr>
        <w:jc w:val="right"/>
        <w:rPr>
          <w:rFonts w:ascii="Book Antiqua" w:hAnsi="Book Antiqua" w:cs="Tahoma"/>
          <w:b/>
          <w:i/>
          <w:sz w:val="16"/>
          <w:szCs w:val="16"/>
        </w:rPr>
      </w:pPr>
      <w:bookmarkStart w:id="0" w:name="_GoBack"/>
      <w:bookmarkEnd w:id="0"/>
      <w:r>
        <w:rPr>
          <w:rFonts w:ascii="Book Antiqua" w:hAnsi="Book Antiqua" w:cs="Tahoma"/>
          <w:b/>
          <w:i/>
          <w:sz w:val="16"/>
          <w:szCs w:val="16"/>
        </w:rPr>
        <w:t>1.sz. melléklet</w:t>
      </w:r>
    </w:p>
    <w:p w:rsidR="002302A4" w:rsidRPr="007F72E4" w:rsidRDefault="002302A4" w:rsidP="002302A4">
      <w:pPr>
        <w:jc w:val="right"/>
        <w:rPr>
          <w:rFonts w:ascii="Book Antiqua" w:hAnsi="Book Antiqua" w:cs="Tahoma"/>
          <w:b/>
          <w:i/>
          <w:sz w:val="16"/>
          <w:szCs w:val="16"/>
        </w:rPr>
      </w:pPr>
      <w:r>
        <w:rPr>
          <w:rFonts w:ascii="Book Antiqua" w:hAnsi="Book Antiqua" w:cs="Tahoma"/>
          <w:b/>
          <w:i/>
          <w:sz w:val="16"/>
          <w:szCs w:val="16"/>
        </w:rPr>
        <w:t>Rendelet-tervezet</w:t>
      </w:r>
    </w:p>
    <w:p w:rsidR="006C6170" w:rsidRDefault="006C6170" w:rsidP="006C6170">
      <w:pPr>
        <w:pStyle w:val="Szvegtrzs21"/>
        <w:ind w:right="1"/>
        <w:jc w:val="center"/>
        <w:rPr>
          <w:rFonts w:ascii="Arial Narrow" w:hAnsi="Arial Narrow"/>
          <w:sz w:val="24"/>
          <w:szCs w:val="24"/>
        </w:rPr>
      </w:pPr>
    </w:p>
    <w:p w:rsidR="006C6170" w:rsidRDefault="006C6170" w:rsidP="006C617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Budaörs Város Önkormányzat Képviselő-testületének</w:t>
      </w:r>
    </w:p>
    <w:p w:rsidR="006C6170" w:rsidRDefault="009B6463" w:rsidP="006C617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…../2016</w:t>
      </w:r>
      <w:r w:rsidR="006C6170">
        <w:rPr>
          <w:rFonts w:ascii="Arial Narrow" w:hAnsi="Arial Narrow" w:cs="Arial"/>
          <w:b/>
        </w:rPr>
        <w:t>.(…..) önkormányzati rendelete</w:t>
      </w:r>
    </w:p>
    <w:p w:rsidR="006C6170" w:rsidRDefault="006C6170" w:rsidP="006C6170">
      <w:pPr>
        <w:spacing w:before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  <w:t>a településképi véleményezési eljárásról szóló</w:t>
      </w:r>
    </w:p>
    <w:p w:rsidR="006C6170" w:rsidRPr="006302B7" w:rsidRDefault="006C6170" w:rsidP="006C6170">
      <w:pPr>
        <w:spacing w:before="120"/>
        <w:jc w:val="center"/>
        <w:rPr>
          <w:rFonts w:ascii="Arial Narrow" w:hAnsi="Arial Narrow" w:cs="Arial"/>
          <w:b/>
        </w:rPr>
      </w:pPr>
      <w:r w:rsidRPr="006302B7">
        <w:rPr>
          <w:rFonts w:ascii="Arial Narrow" w:hAnsi="Arial Narrow" w:cs="Arial"/>
          <w:b/>
        </w:rPr>
        <w:t xml:space="preserve">8/2013. (III.11.) önkormányzati rendelet módosításáról </w:t>
      </w:r>
    </w:p>
    <w:p w:rsidR="006C6170" w:rsidRDefault="006C6170" w:rsidP="006C6170">
      <w:pPr>
        <w:pStyle w:val="Szvegtrzs21"/>
        <w:ind w:right="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C6170" w:rsidRDefault="006C6170" w:rsidP="006C6170">
      <w:pPr>
        <w:jc w:val="both"/>
      </w:pPr>
    </w:p>
    <w:p w:rsidR="006C6170" w:rsidRDefault="006C6170" w:rsidP="006C6170">
      <w:pPr>
        <w:pStyle w:val="Szvegtrzs"/>
        <w:rPr>
          <w:rFonts w:ascii="Arial Narrow" w:hAnsi="Arial Narrow"/>
        </w:rPr>
      </w:pPr>
      <w:r w:rsidRPr="00612CCD">
        <w:rPr>
          <w:rFonts w:ascii="Arial Narrow" w:hAnsi="Arial Narrow"/>
        </w:rPr>
        <w:t>Budaörs Város Önkormányzat Képviselő-testülete az épített környezet alakításáról és védelméről szóló 1997. évi LXXVIII. törvény 62. § (6) bekezdés 7. pontjában kapott felhatalmazás alapján, a Magyarország helyi önkormányzatairól szóló 2011. évi CLXXXIX. törvény 13. § (1) bekezdés 1. pontjában meghatározott feladatkörében eljárva a következőket rendeli el:</w:t>
      </w:r>
    </w:p>
    <w:p w:rsidR="006C6170" w:rsidRDefault="006C6170" w:rsidP="006C6170">
      <w:pPr>
        <w:jc w:val="both"/>
        <w:rPr>
          <w:rFonts w:ascii="Arial Narrow" w:hAnsi="Arial Narrow" w:cs="Arial"/>
        </w:rPr>
      </w:pPr>
    </w:p>
    <w:p w:rsidR="006C6170" w:rsidRPr="004C7EA6" w:rsidRDefault="006C6170" w:rsidP="004C7EA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 §</w:t>
      </w:r>
    </w:p>
    <w:p w:rsidR="006C6170" w:rsidRPr="000A578A" w:rsidRDefault="006C6170" w:rsidP="009B6463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0A578A">
        <w:rPr>
          <w:rFonts w:ascii="Arial Narrow" w:hAnsi="Arial Narrow"/>
        </w:rPr>
        <w:t>(1) A</w:t>
      </w:r>
      <w:r>
        <w:rPr>
          <w:rFonts w:ascii="Arial Narrow" w:hAnsi="Arial Narrow"/>
        </w:rPr>
        <w:t xml:space="preserve"> Budaörs Város Önkormányzat Képviselő-testületének </w:t>
      </w:r>
      <w:r w:rsidRPr="009B6463">
        <w:rPr>
          <w:rFonts w:ascii="Arial Narrow" w:hAnsi="Arial Narrow"/>
        </w:rPr>
        <w:t>a települ</w:t>
      </w:r>
      <w:r w:rsidR="009B6463">
        <w:rPr>
          <w:rFonts w:ascii="Arial Narrow" w:hAnsi="Arial Narrow"/>
        </w:rPr>
        <w:t xml:space="preserve">ésképi véleményezési eljárásról </w:t>
      </w:r>
      <w:r w:rsidRPr="009B6463">
        <w:rPr>
          <w:rFonts w:ascii="Arial Narrow" w:hAnsi="Arial Narrow"/>
        </w:rPr>
        <w:t xml:space="preserve">szóló 8/2013. (III. 11.) ÖKT sz. </w:t>
      </w:r>
      <w:r>
        <w:rPr>
          <w:rFonts w:ascii="Arial Narrow" w:hAnsi="Arial Narrow"/>
        </w:rPr>
        <w:t>rendeletének (továbbiakban: R.)</w:t>
      </w:r>
      <w:r w:rsidR="009B6463">
        <w:rPr>
          <w:rFonts w:ascii="Arial Narrow" w:hAnsi="Arial Narrow"/>
        </w:rPr>
        <w:t xml:space="preserve"> </w:t>
      </w:r>
      <w:r w:rsidR="009B6463" w:rsidRPr="009B6463">
        <w:rPr>
          <w:rFonts w:ascii="Arial Narrow" w:hAnsi="Arial Narrow"/>
        </w:rPr>
        <w:t>4. §</w:t>
      </w:r>
      <w:r w:rsidR="005E6BCB">
        <w:rPr>
          <w:rFonts w:ascii="Arial Narrow" w:hAnsi="Arial Narrow"/>
        </w:rPr>
        <w:t xml:space="preserve"> (1) bekezdésének</w:t>
      </w:r>
      <w:r w:rsidR="009B6463">
        <w:rPr>
          <w:rFonts w:ascii="Arial Narrow" w:hAnsi="Arial Narrow"/>
        </w:rPr>
        <w:t xml:space="preserve"> </w:t>
      </w:r>
      <w:r w:rsidRPr="000A578A">
        <w:rPr>
          <w:rFonts w:ascii="Arial Narrow" w:hAnsi="Arial Narrow"/>
        </w:rPr>
        <w:t>helyébe a következő rendelkezés lép:</w:t>
      </w:r>
    </w:p>
    <w:p w:rsidR="009B6463" w:rsidRPr="003D51A9" w:rsidRDefault="009B6463" w:rsidP="009B6463">
      <w:pPr>
        <w:ind w:left="426" w:hanging="426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„</w:t>
      </w:r>
      <w:r w:rsidRPr="003D51A9">
        <w:rPr>
          <w:rFonts w:ascii="Arial Narrow" w:hAnsi="Arial Narrow"/>
        </w:rPr>
        <w:t xml:space="preserve">(1) </w:t>
      </w:r>
      <w:r w:rsidRPr="003D51A9">
        <w:rPr>
          <w:rFonts w:ascii="Arial Narrow" w:hAnsi="Arial Narrow"/>
        </w:rPr>
        <w:tab/>
        <w:t>A polgármester településképi véleményét Budaörs Város Építészeti</w:t>
      </w:r>
      <w:r w:rsidRPr="003D51A9">
        <w:rPr>
          <w:rFonts w:ascii="Arial Narrow" w:hAnsi="Arial Narrow"/>
          <w:bCs/>
        </w:rPr>
        <w:t xml:space="preserve"> Tervtanácsának (továbbiakban: Tervtanács) állásfoglalására alapozva hozza meg az alábbi esetekben, amennyiben azok</w:t>
      </w:r>
      <w:r w:rsidRPr="003D51A9">
        <w:rPr>
          <w:rFonts w:ascii="Arial Narrow" w:hAnsi="Arial Narrow"/>
        </w:rPr>
        <w:t xml:space="preserve"> építésügyi hatósági engedélyhez kötött építési munkára vonatkoznak</w:t>
      </w:r>
      <w:r w:rsidRPr="003D51A9">
        <w:rPr>
          <w:rFonts w:ascii="Arial Narrow" w:hAnsi="Arial Narrow"/>
          <w:bCs/>
        </w:rPr>
        <w:t>:</w:t>
      </w:r>
    </w:p>
    <w:p w:rsidR="009B6463" w:rsidRPr="003D51A9" w:rsidRDefault="009B6463" w:rsidP="009B6463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 Narrow" w:hAnsi="Arial Narrow"/>
        </w:rPr>
      </w:pPr>
      <w:r w:rsidRPr="003D51A9">
        <w:rPr>
          <w:rFonts w:ascii="Arial Narrow" w:hAnsi="Arial Narrow"/>
        </w:rPr>
        <w:t>Az Önkormányzat beruházásában készülő épület építése, bővítése, átalakítása</w:t>
      </w:r>
      <w:r>
        <w:rPr>
          <w:rFonts w:ascii="Arial Narrow" w:hAnsi="Arial Narrow"/>
        </w:rPr>
        <w:t xml:space="preserve">, </w:t>
      </w:r>
      <w:r w:rsidR="00471418">
        <w:rPr>
          <w:rFonts w:ascii="Arial Narrow" w:hAnsi="Arial Narrow"/>
        </w:rPr>
        <w:t xml:space="preserve">ha </w:t>
      </w:r>
      <w:r w:rsidR="00471418" w:rsidRPr="003D51A9">
        <w:rPr>
          <w:rFonts w:ascii="Arial Narrow" w:hAnsi="Arial Narrow"/>
        </w:rPr>
        <w:t>a polgármester vagy – a polgármester egyetértésével – a főépítész</w:t>
      </w:r>
      <w:r w:rsidR="00471418">
        <w:rPr>
          <w:rFonts w:ascii="Arial Narrow" w:hAnsi="Arial Narrow"/>
        </w:rPr>
        <w:t xml:space="preserve"> </w:t>
      </w:r>
      <w:r w:rsidR="00471418" w:rsidRPr="003D51A9">
        <w:rPr>
          <w:rFonts w:ascii="Arial Narrow" w:hAnsi="Arial Narrow"/>
        </w:rPr>
        <w:t>az építési munk</w:t>
      </w:r>
      <w:r w:rsidR="00471418">
        <w:rPr>
          <w:rFonts w:ascii="Arial Narrow" w:hAnsi="Arial Narrow"/>
        </w:rPr>
        <w:t>a sajátosságainak eseti elbírálása alapján indokoltnak tartja</w:t>
      </w:r>
      <w:r>
        <w:rPr>
          <w:rFonts w:ascii="Arial Narrow" w:hAnsi="Arial Narrow"/>
        </w:rPr>
        <w:t xml:space="preserve">. </w:t>
      </w:r>
    </w:p>
    <w:p w:rsidR="009B6463" w:rsidRPr="003D51A9" w:rsidRDefault="002E1C6D" w:rsidP="009B6463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 Narrow" w:hAnsi="Arial Narrow"/>
        </w:rPr>
      </w:pPr>
      <w:r w:rsidRPr="002E1C6D">
        <w:rPr>
          <w:rFonts w:ascii="Arial Narrow" w:hAnsi="Arial Narrow"/>
        </w:rPr>
        <w:t xml:space="preserve">Az 1. számú főút – Gyár utca – Közigazgatási határ által határolt terület kivételével az </w:t>
      </w:r>
      <w:r w:rsidR="009B6463">
        <w:rPr>
          <w:rFonts w:ascii="Arial Narrow" w:hAnsi="Arial Narrow"/>
        </w:rPr>
        <w:t>1</w:t>
      </w:r>
      <w:smartTag w:uri="urn:schemas-microsoft-com:office:smarttags" w:element="metricconverter">
        <w:smartTagPr>
          <w:attr w:name="ProductID" w:val="500 m2"/>
        </w:smartTagPr>
        <w:r w:rsidR="009B6463" w:rsidRPr="003D51A9">
          <w:rPr>
            <w:rFonts w:ascii="Arial Narrow" w:hAnsi="Arial Narrow"/>
          </w:rPr>
          <w:t>500 m</w:t>
        </w:r>
        <w:r w:rsidR="009B6463" w:rsidRPr="003D51A9">
          <w:rPr>
            <w:rFonts w:ascii="Arial Narrow" w:hAnsi="Arial Narrow"/>
            <w:vertAlign w:val="superscript"/>
          </w:rPr>
          <w:t>2</w:t>
        </w:r>
      </w:smartTag>
      <w:r w:rsidR="009B6463" w:rsidRPr="003D51A9">
        <w:rPr>
          <w:rFonts w:ascii="Arial Narrow" w:hAnsi="Arial Narrow"/>
        </w:rPr>
        <w:t xml:space="preserve"> összes bruttó szintterületet meghaladó épület építése, vagy meglévő épület esetenként </w:t>
      </w:r>
      <w:r w:rsidR="009B6463">
        <w:rPr>
          <w:rFonts w:ascii="Arial Narrow" w:hAnsi="Arial Narrow"/>
        </w:rPr>
        <w:t>1</w:t>
      </w:r>
      <w:smartTag w:uri="urn:schemas-microsoft-com:office:smarttags" w:element="metricconverter">
        <w:smartTagPr>
          <w:attr w:name="ProductID" w:val="500 m2"/>
        </w:smartTagPr>
        <w:r w:rsidR="009B6463" w:rsidRPr="003D51A9">
          <w:rPr>
            <w:rFonts w:ascii="Arial Narrow" w:hAnsi="Arial Narrow"/>
          </w:rPr>
          <w:t>500 m</w:t>
        </w:r>
        <w:r w:rsidR="009B6463" w:rsidRPr="003D51A9">
          <w:rPr>
            <w:rFonts w:ascii="Arial Narrow" w:hAnsi="Arial Narrow"/>
            <w:vertAlign w:val="superscript"/>
          </w:rPr>
          <w:t>2</w:t>
        </w:r>
      </w:smartTag>
      <w:r w:rsidR="009B6463" w:rsidRPr="003D51A9">
        <w:rPr>
          <w:rFonts w:ascii="Arial Narrow" w:hAnsi="Arial Narrow"/>
        </w:rPr>
        <w:t xml:space="preserve"> szintterület növekedést meghaladó bővítése.</w:t>
      </w:r>
    </w:p>
    <w:p w:rsidR="009B6463" w:rsidRPr="003D51A9" w:rsidRDefault="009B6463" w:rsidP="009B6463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</w:rPr>
        <w:t>Helyi védelem alatt álló építményt érintő építési munka</w:t>
      </w:r>
      <w:r>
        <w:rPr>
          <w:rFonts w:ascii="Arial Narrow" w:hAnsi="Arial Narrow" w:cs="Arial"/>
        </w:rPr>
        <w:t xml:space="preserve"> esetében, amennyiben az építési munka a külső homlokzatokon változtatást eredményez</w:t>
      </w:r>
      <w:r w:rsidRPr="003D51A9">
        <w:rPr>
          <w:rFonts w:ascii="Arial Narrow" w:hAnsi="Arial Narrow" w:cs="Arial"/>
          <w:bCs/>
        </w:rPr>
        <w:t>.</w:t>
      </w:r>
    </w:p>
    <w:p w:rsidR="009B6463" w:rsidRPr="009B6463" w:rsidRDefault="009B6463" w:rsidP="009B6463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</w:rPr>
      </w:pPr>
      <w:r w:rsidRPr="009B6463">
        <w:rPr>
          <w:rFonts w:ascii="Arial Narrow" w:hAnsi="Arial Narrow" w:cs="Arial"/>
          <w:bCs/>
        </w:rPr>
        <w:t>Épület 3. § (1) bekezdése szerinti építése és a meglévő épület 100 m2-t meghaladó bruttó szintterülettel való</w:t>
      </w:r>
      <w:r w:rsidR="00DE7AB6">
        <w:rPr>
          <w:rFonts w:ascii="Arial Narrow" w:hAnsi="Arial Narrow" w:cs="Arial"/>
          <w:bCs/>
        </w:rPr>
        <w:t xml:space="preserve"> bővítése </w:t>
      </w:r>
      <w:r w:rsidRPr="009B6463">
        <w:rPr>
          <w:rFonts w:ascii="Arial Narrow" w:hAnsi="Arial Narrow" w:cs="Arial"/>
        </w:rPr>
        <w:t>az alábbi területeken:</w:t>
      </w:r>
    </w:p>
    <w:p w:rsidR="009B6463" w:rsidRPr="009B6463" w:rsidRDefault="009B6463" w:rsidP="009B6463">
      <w:pPr>
        <w:tabs>
          <w:tab w:val="left" w:pos="851"/>
          <w:tab w:val="left" w:pos="1418"/>
        </w:tabs>
        <w:ind w:left="1416"/>
        <w:jc w:val="both"/>
        <w:rPr>
          <w:rFonts w:ascii="Arial Narrow" w:hAnsi="Arial Narrow" w:cs="Arial"/>
        </w:rPr>
      </w:pPr>
      <w:r w:rsidRPr="009B6463">
        <w:rPr>
          <w:rFonts w:ascii="Arial Narrow" w:hAnsi="Arial Narrow" w:cs="Arial"/>
        </w:rPr>
        <w:t>da) Műemléki környezetben, és védett természeti területen, Natura 2000 területén.</w:t>
      </w:r>
    </w:p>
    <w:p w:rsidR="009B6463" w:rsidRPr="009B6463" w:rsidRDefault="009B6463" w:rsidP="009B6463">
      <w:pPr>
        <w:tabs>
          <w:tab w:val="left" w:pos="851"/>
        </w:tabs>
        <w:ind w:left="851"/>
        <w:jc w:val="both"/>
        <w:rPr>
          <w:rFonts w:ascii="Arial Narrow" w:hAnsi="Arial Narrow"/>
        </w:rPr>
      </w:pPr>
      <w:r w:rsidRPr="009B6463">
        <w:rPr>
          <w:rFonts w:ascii="Arial Narrow" w:hAnsi="Arial Narrow" w:cs="Arial"/>
        </w:rPr>
        <w:tab/>
        <w:t xml:space="preserve">db) </w:t>
      </w:r>
      <w:r w:rsidRPr="009B6463">
        <w:rPr>
          <w:rFonts w:ascii="Arial Narrow" w:hAnsi="Arial Narrow"/>
        </w:rPr>
        <w:t>Településrendezési eszközben látványvédelemmel érintett telken.</w:t>
      </w:r>
    </w:p>
    <w:p w:rsidR="009B6463" w:rsidRPr="003D51A9" w:rsidRDefault="009B6463" w:rsidP="009B6463">
      <w:pPr>
        <w:tabs>
          <w:tab w:val="left" w:pos="851"/>
          <w:tab w:val="left" w:pos="1418"/>
        </w:tabs>
        <w:ind w:left="1416"/>
        <w:jc w:val="both"/>
        <w:rPr>
          <w:rFonts w:ascii="Arial Narrow" w:hAnsi="Arial Narrow"/>
        </w:rPr>
      </w:pPr>
      <w:r w:rsidRPr="003D51A9">
        <w:rPr>
          <w:rFonts w:ascii="Arial Narrow" w:hAnsi="Arial Narrow"/>
        </w:rPr>
        <w:t>d</w:t>
      </w:r>
      <w:r>
        <w:rPr>
          <w:rFonts w:ascii="Arial Narrow" w:hAnsi="Arial Narrow"/>
        </w:rPr>
        <w:t>c</w:t>
      </w:r>
      <w:r w:rsidRPr="003D51A9">
        <w:rPr>
          <w:rFonts w:ascii="Arial Narrow" w:hAnsi="Arial Narrow"/>
        </w:rPr>
        <w:t>) Nefelejcs u.- Farkasréti út – Bokréta köz – Templom tér - Clementis L. u. – Dózsa Gy. u. – Stefánia u. által határolt területen, közterületein, ill. határoló közterületein.</w:t>
      </w:r>
    </w:p>
    <w:p w:rsidR="009B6463" w:rsidRPr="003D51A9" w:rsidRDefault="009B6463" w:rsidP="009B6463">
      <w:pPr>
        <w:tabs>
          <w:tab w:val="left" w:pos="851"/>
          <w:tab w:val="left" w:pos="1418"/>
        </w:tabs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dd</w:t>
      </w:r>
      <w:r w:rsidRPr="003D51A9">
        <w:rPr>
          <w:rFonts w:ascii="Arial Narrow" w:hAnsi="Arial Narrow"/>
        </w:rPr>
        <w:t>) Szabadság út – Stefánia u. – Vasvári Pál u. – Pozsonyi u. – Petőfi S. u. által határolt területen, közterületein, ill. határoló közterületein.</w:t>
      </w:r>
    </w:p>
    <w:p w:rsidR="009B6463" w:rsidRPr="003D51A9" w:rsidRDefault="009B6463" w:rsidP="009B6463">
      <w:pPr>
        <w:tabs>
          <w:tab w:val="left" w:pos="1418"/>
        </w:tabs>
        <w:ind w:left="1418" w:hanging="567"/>
        <w:jc w:val="both"/>
        <w:rPr>
          <w:rFonts w:ascii="Arial Narrow" w:hAnsi="Arial Narrow" w:cs="Arial"/>
        </w:rPr>
      </w:pPr>
      <w:r w:rsidRPr="003D51A9">
        <w:rPr>
          <w:rFonts w:ascii="Arial Narrow" w:hAnsi="Arial Narrow"/>
        </w:rPr>
        <w:tab/>
        <w:t>d</w:t>
      </w:r>
      <w:r>
        <w:rPr>
          <w:rFonts w:ascii="Arial Narrow" w:hAnsi="Arial Narrow"/>
        </w:rPr>
        <w:t>e</w:t>
      </w:r>
      <w:r w:rsidRPr="003D51A9">
        <w:rPr>
          <w:rFonts w:ascii="Arial Narrow" w:hAnsi="Arial Narrow"/>
        </w:rPr>
        <w:t>) Szabadság út – Kisfaludy u. – Kossuth Lajos u. – Nefelejcs u. által határolt területen, közterületein, ill. határoló közterületein.</w:t>
      </w:r>
    </w:p>
    <w:p w:rsidR="009B6463" w:rsidRPr="009B6463" w:rsidRDefault="009B6463" w:rsidP="009B6463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</w:rPr>
      </w:pPr>
      <w:r w:rsidRPr="009B6463">
        <w:rPr>
          <w:rFonts w:ascii="Arial Narrow" w:hAnsi="Arial Narrow" w:cs="Arial"/>
          <w:bCs/>
        </w:rPr>
        <w:t>Az alábbi közterületek utcafronti ingatlanain épület 3. § (1) bekezdése szerinti építése, bővítése, átalakítása: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 xml:space="preserve">Szabadság út, 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 xml:space="preserve">Budapesti út, 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>Károly király út,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>Szakály Mátyás u.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>Kossuth Lajos u.</w:t>
      </w:r>
    </w:p>
    <w:p w:rsidR="009B6463" w:rsidRPr="003D51A9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>Bretzfeld u.</w:t>
      </w:r>
    </w:p>
    <w:p w:rsidR="009B6463" w:rsidRDefault="009B6463" w:rsidP="009B6463">
      <w:pPr>
        <w:numPr>
          <w:ilvl w:val="0"/>
          <w:numId w:val="4"/>
        </w:numPr>
        <w:tabs>
          <w:tab w:val="left" w:pos="1068"/>
        </w:tabs>
        <w:jc w:val="both"/>
        <w:rPr>
          <w:rFonts w:ascii="Arial Narrow" w:hAnsi="Arial Narrow" w:cs="Arial"/>
          <w:bCs/>
        </w:rPr>
      </w:pPr>
      <w:r w:rsidRPr="003D51A9">
        <w:rPr>
          <w:rFonts w:ascii="Arial Narrow" w:hAnsi="Arial Narrow" w:cs="Arial"/>
          <w:bCs/>
        </w:rPr>
        <w:t>Sport u.</w:t>
      </w:r>
    </w:p>
    <w:p w:rsidR="006C6170" w:rsidRPr="009B6463" w:rsidRDefault="009B6463" w:rsidP="009B6463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Reklámtotem és óriásplakát.</w:t>
      </w:r>
      <w:r w:rsidR="006C6170" w:rsidRPr="009B6463">
        <w:rPr>
          <w:rFonts w:ascii="Arial Narrow" w:hAnsi="Arial Narrow"/>
          <w:bCs/>
        </w:rPr>
        <w:t>”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6170" w:rsidRPr="00D1002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(2) </w:t>
      </w:r>
      <w:r>
        <w:rPr>
          <w:rFonts w:ascii="Arial Narrow" w:hAnsi="Arial Narrow"/>
        </w:rPr>
        <w:t xml:space="preserve">Az R. 4. §. </w:t>
      </w:r>
      <w:r w:rsidR="009B6463">
        <w:rPr>
          <w:rFonts w:ascii="Arial Narrow" w:hAnsi="Arial Narrow"/>
        </w:rPr>
        <w:t xml:space="preserve">(5) </w:t>
      </w:r>
      <w:r w:rsidR="009B6463" w:rsidRPr="000A578A">
        <w:rPr>
          <w:rFonts w:ascii="Arial Narrow" w:hAnsi="Arial Narrow"/>
        </w:rPr>
        <w:t xml:space="preserve">bekezdés </w:t>
      </w:r>
      <w:r w:rsidR="009B6463">
        <w:rPr>
          <w:rFonts w:ascii="Arial Narrow" w:hAnsi="Arial Narrow"/>
        </w:rPr>
        <w:t xml:space="preserve">helyébe az alábbi </w:t>
      </w:r>
      <w:r w:rsidR="009B6463" w:rsidRPr="000A578A">
        <w:rPr>
          <w:rFonts w:ascii="Arial Narrow" w:hAnsi="Arial Narrow"/>
        </w:rPr>
        <w:t>rendelkezés lép</w:t>
      </w:r>
    </w:p>
    <w:p w:rsidR="006C6170" w:rsidRDefault="006C6170" w:rsidP="006C6170">
      <w:pPr>
        <w:autoSpaceDE w:val="0"/>
        <w:autoSpaceDN w:val="0"/>
        <w:adjustRightInd w:val="0"/>
        <w:ind w:left="540"/>
        <w:jc w:val="both"/>
        <w:rPr>
          <w:rFonts w:ascii="Arial Narrow" w:hAnsi="Arial Narrow" w:cs="Arial"/>
        </w:rPr>
      </w:pPr>
    </w:p>
    <w:p w:rsidR="006C6170" w:rsidRPr="009B6463" w:rsidRDefault="009B6463" w:rsidP="009B646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„</w:t>
      </w:r>
      <w:r w:rsidR="005E6BCB">
        <w:rPr>
          <w:rFonts w:ascii="Arial Narrow" w:hAnsi="Arial Narrow"/>
        </w:rPr>
        <w:t xml:space="preserve">(5) </w:t>
      </w:r>
      <w:r w:rsidRPr="003D51A9">
        <w:rPr>
          <w:rFonts w:ascii="Arial Narrow" w:hAnsi="Arial Narrow"/>
        </w:rPr>
        <w:t xml:space="preserve">A tervezési terület, illetve az építési munka sajátosságai alapján indokolt esetben </w:t>
      </w:r>
      <w:r w:rsidR="005E6BCB">
        <w:rPr>
          <w:rFonts w:ascii="Arial Narrow" w:hAnsi="Arial Narrow"/>
        </w:rPr>
        <w:t>– a 4§.(1) a.) pontjában</w:t>
      </w:r>
      <w:r w:rsidR="00DE7AB6">
        <w:rPr>
          <w:rFonts w:ascii="Arial Narrow" w:hAnsi="Arial Narrow"/>
        </w:rPr>
        <w:t xml:space="preserve"> megfogalmazottakon felül</w:t>
      </w:r>
      <w:r w:rsidR="00DE7AB6" w:rsidRPr="003D51A9">
        <w:rPr>
          <w:rFonts w:ascii="Arial Narrow" w:hAnsi="Arial Narrow"/>
        </w:rPr>
        <w:t xml:space="preserve"> </w:t>
      </w:r>
      <w:r w:rsidR="00DE7AB6">
        <w:rPr>
          <w:rFonts w:ascii="Arial Narrow" w:hAnsi="Arial Narrow"/>
        </w:rPr>
        <w:t xml:space="preserve">- </w:t>
      </w:r>
      <w:r w:rsidRPr="003D51A9">
        <w:rPr>
          <w:rFonts w:ascii="Arial Narrow" w:hAnsi="Arial Narrow"/>
        </w:rPr>
        <w:t>a polgármester vagy – a polgármester egyetértésével – a főépítész kezdeményezheti a Tervtanács véleményezését</w:t>
      </w:r>
      <w:r w:rsidR="006C6170">
        <w:rPr>
          <w:rFonts w:ascii="Arial Narrow" w:hAnsi="Arial Narrow"/>
        </w:rPr>
        <w:t>.”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Default="006C6170" w:rsidP="006C6170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6C6170" w:rsidRPr="0076095A" w:rsidRDefault="006C6170" w:rsidP="006C6170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§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Pr="00E65481" w:rsidRDefault="006C6170" w:rsidP="006C6170">
      <w:pPr>
        <w:pStyle w:val="Listaszerbekezds2"/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65481">
        <w:rPr>
          <w:rFonts w:ascii="Arial Narrow" w:hAnsi="Arial Narrow"/>
          <w:sz w:val="24"/>
          <w:szCs w:val="24"/>
        </w:rPr>
        <w:t>(1)</w:t>
      </w:r>
      <w:r w:rsidRPr="00E65481">
        <w:rPr>
          <w:rFonts w:ascii="Arial Narrow" w:hAnsi="Arial Narrow"/>
          <w:sz w:val="24"/>
          <w:szCs w:val="24"/>
        </w:rPr>
        <w:tab/>
        <w:t>A re</w:t>
      </w:r>
      <w:r w:rsidR="002E1C6D">
        <w:rPr>
          <w:rFonts w:ascii="Arial Narrow" w:hAnsi="Arial Narrow"/>
          <w:sz w:val="24"/>
          <w:szCs w:val="24"/>
        </w:rPr>
        <w:t>ndelet a kihirdetését követő</w:t>
      </w:r>
      <w:r w:rsidRPr="00E65481">
        <w:rPr>
          <w:rFonts w:ascii="Arial Narrow" w:hAnsi="Arial Narrow"/>
          <w:sz w:val="24"/>
          <w:szCs w:val="24"/>
        </w:rPr>
        <w:t xml:space="preserve"> napon lép hatályba. </w:t>
      </w:r>
    </w:p>
    <w:p w:rsidR="006C6170" w:rsidRPr="00E65481" w:rsidRDefault="006C6170" w:rsidP="006C6170">
      <w:pPr>
        <w:pStyle w:val="Listaszerbekezds2"/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65481">
        <w:rPr>
          <w:rFonts w:ascii="Arial Narrow" w:hAnsi="Arial Narrow"/>
          <w:sz w:val="24"/>
          <w:szCs w:val="24"/>
        </w:rPr>
        <w:t>(2)</w:t>
      </w:r>
      <w:r w:rsidRPr="00E65481">
        <w:rPr>
          <w:rFonts w:ascii="Arial Narrow" w:hAnsi="Arial Narrow"/>
          <w:sz w:val="24"/>
          <w:szCs w:val="24"/>
        </w:rPr>
        <w:tab/>
        <w:t>A rendelet rendelkezéseit a hatályba lépést követően indított ügyekben kell alkalmazni.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Default="009B6463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Budaörs, 2016</w:t>
      </w:r>
      <w:r w:rsidR="006C6170">
        <w:rPr>
          <w:rFonts w:ascii="Arial Narrow" w:hAnsi="Arial Narrow"/>
          <w:b/>
        </w:rPr>
        <w:t>. ……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Wittinghoff Tamás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dr. Bocsi István</w:t>
      </w:r>
    </w:p>
    <w:p w:rsidR="006C6170" w:rsidRPr="00D0542B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polgármester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jegyző</w:t>
      </w:r>
    </w:p>
    <w:p w:rsidR="006C6170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Pr="00685B2F" w:rsidRDefault="006C6170" w:rsidP="006C617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C6170" w:rsidRPr="00C04802" w:rsidRDefault="006C6170" w:rsidP="006C6170"/>
    <w:p w:rsidR="000A4259" w:rsidRDefault="000A4259"/>
    <w:sectPr w:rsidR="000A4259" w:rsidSect="00036C05">
      <w:footerReference w:type="even" r:id="rId7"/>
      <w:footerReference w:type="default" r:id="rId8"/>
      <w:pgSz w:w="11906" w:h="16838"/>
      <w:pgMar w:top="851" w:right="1418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3B" w:rsidRDefault="009B0422">
      <w:r>
        <w:separator/>
      </w:r>
    </w:p>
  </w:endnote>
  <w:endnote w:type="continuationSeparator" w:id="0">
    <w:p w:rsidR="00D41B3B" w:rsidRDefault="009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F1" w:rsidRDefault="006C6170" w:rsidP="00F37C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14FF1" w:rsidRDefault="00C671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F1" w:rsidRDefault="006C6170" w:rsidP="00F37C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71CD">
      <w:rPr>
        <w:rStyle w:val="Oldalszm"/>
        <w:noProof/>
      </w:rPr>
      <w:t>1</w:t>
    </w:r>
    <w:r>
      <w:rPr>
        <w:rStyle w:val="Oldalszm"/>
      </w:rPr>
      <w:fldChar w:fldCharType="end"/>
    </w:r>
  </w:p>
  <w:p w:rsidR="00814FF1" w:rsidRDefault="00C671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3B" w:rsidRDefault="009B0422">
      <w:r>
        <w:separator/>
      </w:r>
    </w:p>
  </w:footnote>
  <w:footnote w:type="continuationSeparator" w:id="0">
    <w:p w:rsidR="00D41B3B" w:rsidRDefault="009B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400D"/>
    <w:multiLevelType w:val="hybridMultilevel"/>
    <w:tmpl w:val="925C7D3E"/>
    <w:lvl w:ilvl="0" w:tplc="1C46F9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EF233B"/>
    <w:multiLevelType w:val="hybridMultilevel"/>
    <w:tmpl w:val="66C2AF10"/>
    <w:lvl w:ilvl="0" w:tplc="AE78C000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64637D56"/>
    <w:multiLevelType w:val="singleLevel"/>
    <w:tmpl w:val="402AFD60"/>
    <w:lvl w:ilvl="0">
      <w:start w:val="1"/>
      <w:numFmt w:val="lowerLetter"/>
      <w:lvlText w:val="%1.)"/>
      <w:legacy w:legacy="1" w:legacySpace="120" w:legacyIndent="360"/>
      <w:lvlJc w:val="left"/>
      <w:pPr>
        <w:ind w:left="1068" w:hanging="360"/>
      </w:pPr>
    </w:lvl>
  </w:abstractNum>
  <w:abstractNum w:abstractNumId="3" w15:restartNumberingAfterBreak="0">
    <w:nsid w:val="671440E3"/>
    <w:multiLevelType w:val="singleLevel"/>
    <w:tmpl w:val="1584D7B8"/>
    <w:lvl w:ilvl="0">
      <w:start w:val="3"/>
      <w:numFmt w:val="lowerLetter"/>
      <w:lvlText w:val="%1.)"/>
      <w:legacy w:legacy="1" w:legacySpace="120" w:legacyIndent="360"/>
      <w:lvlJc w:val="left"/>
      <w:pPr>
        <w:ind w:left="1068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70"/>
    <w:rsid w:val="000A4259"/>
    <w:rsid w:val="002302A4"/>
    <w:rsid w:val="002E1C6D"/>
    <w:rsid w:val="003C5CC8"/>
    <w:rsid w:val="00471418"/>
    <w:rsid w:val="004C64D4"/>
    <w:rsid w:val="004C7EA6"/>
    <w:rsid w:val="005E6BCB"/>
    <w:rsid w:val="006141DC"/>
    <w:rsid w:val="006C6170"/>
    <w:rsid w:val="007C74D2"/>
    <w:rsid w:val="0088330E"/>
    <w:rsid w:val="009B0422"/>
    <w:rsid w:val="009B6463"/>
    <w:rsid w:val="00C671CD"/>
    <w:rsid w:val="00D41B3B"/>
    <w:rsid w:val="00D43F90"/>
    <w:rsid w:val="00DE7AB6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E3C7-D900-49D6-ABF6-965EDAF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6C6170"/>
    <w:rPr>
      <w:rFonts w:ascii="Arial" w:hAnsi="Arial"/>
      <w:sz w:val="22"/>
      <w:szCs w:val="20"/>
    </w:rPr>
  </w:style>
  <w:style w:type="paragraph" w:styleId="llb">
    <w:name w:val="footer"/>
    <w:basedOn w:val="Norml"/>
    <w:link w:val="llbChar"/>
    <w:rsid w:val="006C61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61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C6170"/>
  </w:style>
  <w:style w:type="paragraph" w:styleId="Szvegtrzs">
    <w:name w:val="Body Text"/>
    <w:basedOn w:val="Norml"/>
    <w:link w:val="SzvegtrzsChar"/>
    <w:rsid w:val="006C617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61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rsid w:val="006C617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C61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02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2A4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9B64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B64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B6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Tasnádi Ferenc</dc:creator>
  <cp:keywords/>
  <dc:description/>
  <cp:lastModifiedBy>Süveges Zsófia dr.</cp:lastModifiedBy>
  <cp:revision>2</cp:revision>
  <cp:lastPrinted>2016-02-19T08:06:00Z</cp:lastPrinted>
  <dcterms:created xsi:type="dcterms:W3CDTF">2016-02-19T12:22:00Z</dcterms:created>
  <dcterms:modified xsi:type="dcterms:W3CDTF">2016-02-19T12:22:00Z</dcterms:modified>
</cp:coreProperties>
</file>